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451"/>
        <w:tblW w:w="15320" w:type="dxa"/>
        <w:tblLook w:val="04A0" w:firstRow="1" w:lastRow="0" w:firstColumn="1" w:lastColumn="0" w:noHBand="0" w:noVBand="1"/>
      </w:tblPr>
      <w:tblGrid>
        <w:gridCol w:w="2380"/>
        <w:gridCol w:w="1395"/>
        <w:gridCol w:w="1170"/>
        <w:gridCol w:w="1321"/>
        <w:gridCol w:w="1060"/>
        <w:gridCol w:w="1060"/>
        <w:gridCol w:w="971"/>
        <w:gridCol w:w="988"/>
        <w:gridCol w:w="880"/>
        <w:gridCol w:w="1031"/>
        <w:gridCol w:w="954"/>
        <w:gridCol w:w="1219"/>
        <w:gridCol w:w="961"/>
      </w:tblGrid>
      <w:tr w:rsidR="00540260" w:rsidRPr="00B32065" w:rsidTr="000C6F8E">
        <w:trPr>
          <w:trHeight w:val="260"/>
        </w:trPr>
        <w:tc>
          <w:tcPr>
            <w:tcW w:w="238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1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1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54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5F345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9" w:type="dxa"/>
            <w:shd w:val="clear" w:color="auto" w:fill="D9D9D9" w:themeFill="background1" w:themeFillShade="D9"/>
            <w:noWrap/>
            <w:hideMark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6B6058" w:rsidRPr="00B32065" w:rsidRDefault="006B6058" w:rsidP="006B605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935EF2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  <w:hideMark/>
          </w:tcPr>
          <w:p w:rsidR="00935EF2" w:rsidRPr="00B32065" w:rsidRDefault="00935EF2" w:rsidP="00935EF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NC @ initial interview</w:t>
            </w:r>
          </w:p>
        </w:tc>
        <w:tc>
          <w:tcPr>
            <w:tcW w:w="1395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1170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1321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5.0%</w:t>
            </w:r>
          </w:p>
        </w:tc>
        <w:tc>
          <w:tcPr>
            <w:tcW w:w="1060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1060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971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88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10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31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15.9%</w:t>
            </w:r>
          </w:p>
        </w:tc>
        <w:tc>
          <w:tcPr>
            <w:tcW w:w="954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1219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61" w:type="dxa"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11.1%</w:t>
            </w:r>
          </w:p>
        </w:tc>
      </w:tr>
      <w:tr w:rsidR="0094342B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94342B" w:rsidRPr="00B32065" w:rsidRDefault="0094342B" w:rsidP="0094342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NC @ 3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43.1%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50.9%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46.9%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34.3%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16.9%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95.3%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7.1%</w:t>
            </w:r>
          </w:p>
        </w:tc>
      </w:tr>
      <w:tr w:rsidR="0094342B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  <w:hideMark/>
          </w:tcPr>
          <w:p w:rsidR="0094342B" w:rsidRPr="00B32065" w:rsidRDefault="0094342B" w:rsidP="0094342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NC @ 6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34.2%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52.3%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57.9%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48.6%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15.9%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16.6%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93.7%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7.3%</w:t>
            </w:r>
          </w:p>
        </w:tc>
      </w:tr>
      <w:tr w:rsidR="00935EF2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935EF2" w:rsidRPr="00B32065" w:rsidRDefault="00935EF2" w:rsidP="00935EF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Partners @ initial interview </w:t>
            </w:r>
          </w:p>
        </w:tc>
        <w:tc>
          <w:tcPr>
            <w:tcW w:w="1395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1170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20.6%</w:t>
            </w:r>
          </w:p>
        </w:tc>
        <w:tc>
          <w:tcPr>
            <w:tcW w:w="1321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1060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23.9%</w:t>
            </w:r>
          </w:p>
        </w:tc>
        <w:tc>
          <w:tcPr>
            <w:tcW w:w="1060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41.5%</w:t>
            </w:r>
          </w:p>
        </w:tc>
        <w:tc>
          <w:tcPr>
            <w:tcW w:w="971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88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10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31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954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1219" w:type="dxa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61" w:type="dxa"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14.7%</w:t>
            </w:r>
          </w:p>
        </w:tc>
      </w:tr>
      <w:tr w:rsidR="0094342B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94342B" w:rsidRPr="00B32065" w:rsidRDefault="0094342B" w:rsidP="0094342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Partners @ 3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18.4%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40.1%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49.6%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50.7%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33.6%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94.4%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11.4%</w:t>
            </w:r>
          </w:p>
        </w:tc>
      </w:tr>
      <w:tr w:rsidR="0094342B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94342B" w:rsidRPr="00B32065" w:rsidRDefault="0094342B" w:rsidP="0094342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Partners @ 6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30.1%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12.3%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51.7%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57.2%</w:t>
            </w:r>
            <w:bookmarkStart w:id="0" w:name="_GoBack"/>
            <w:bookmarkEnd w:id="0"/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58.8%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33.6%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94.4%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11.9%</w:t>
            </w:r>
          </w:p>
        </w:tc>
      </w:tr>
      <w:tr w:rsidR="00935EF2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  <w:hideMark/>
          </w:tcPr>
          <w:p w:rsidR="00935EF2" w:rsidRPr="00B32065" w:rsidRDefault="00935EF2" w:rsidP="00935EF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Support, Inc. @ initial interview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14.7%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22.0%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25.4%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49.2%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45.9%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35EF2" w:rsidRPr="0094342B" w:rsidRDefault="00935EF2" w:rsidP="00935EF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16.9%</w:t>
            </w:r>
          </w:p>
        </w:tc>
      </w:tr>
      <w:tr w:rsidR="00C32576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94342B" w:rsidRPr="00B32065" w:rsidRDefault="0094342B" w:rsidP="0094342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Support, Inc. @ 3 month follow-up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55.9%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54.4%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40.4%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59.3%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14.7%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94.7%</w:t>
            </w:r>
          </w:p>
        </w:tc>
        <w:tc>
          <w:tcPr>
            <w:tcW w:w="961" w:type="dxa"/>
            <w:shd w:val="clear" w:color="auto" w:fill="auto"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13.6%</w:t>
            </w:r>
          </w:p>
        </w:tc>
      </w:tr>
      <w:tr w:rsidR="00540260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6B6058" w:rsidRPr="00B32065" w:rsidRDefault="006B6058" w:rsidP="00B3206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Type of internal change/result</w:t>
            </w:r>
          </w:p>
        </w:tc>
        <w:tc>
          <w:tcPr>
            <w:tcW w:w="1395" w:type="dxa"/>
            <w:shd w:val="clear" w:color="auto" w:fill="auto"/>
            <w:noWrap/>
          </w:tcPr>
          <w:p w:rsidR="006B6058" w:rsidRPr="0094342B" w:rsidRDefault="0094342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170" w:type="dxa"/>
            <w:shd w:val="clear" w:color="auto" w:fill="auto"/>
            <w:noWrap/>
          </w:tcPr>
          <w:p w:rsidR="006B6058" w:rsidRPr="0094342B" w:rsidRDefault="0094342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21" w:type="dxa"/>
            <w:shd w:val="clear" w:color="auto" w:fill="auto"/>
            <w:noWrap/>
          </w:tcPr>
          <w:p w:rsidR="006B6058" w:rsidRPr="0094342B" w:rsidRDefault="0094342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60" w:type="dxa"/>
            <w:shd w:val="clear" w:color="auto" w:fill="auto"/>
            <w:noWrap/>
          </w:tcPr>
          <w:p w:rsidR="006B6058" w:rsidRPr="0094342B" w:rsidRDefault="00D13D1A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60" w:type="dxa"/>
            <w:shd w:val="clear" w:color="auto" w:fill="auto"/>
            <w:noWrap/>
          </w:tcPr>
          <w:p w:rsidR="006B6058" w:rsidRPr="0094342B" w:rsidRDefault="00D13D1A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71" w:type="dxa"/>
            <w:shd w:val="clear" w:color="auto" w:fill="auto"/>
            <w:noWrap/>
          </w:tcPr>
          <w:p w:rsidR="006B6058" w:rsidRPr="0094342B" w:rsidRDefault="00D13D1A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88" w:type="dxa"/>
            <w:shd w:val="clear" w:color="auto" w:fill="auto"/>
            <w:noWrap/>
          </w:tcPr>
          <w:p w:rsidR="006B6058" w:rsidRPr="0094342B" w:rsidRDefault="00D13D1A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810" w:type="dxa"/>
            <w:shd w:val="clear" w:color="auto" w:fill="auto"/>
            <w:noWrap/>
          </w:tcPr>
          <w:p w:rsidR="006B6058" w:rsidRPr="0094342B" w:rsidRDefault="00D13D1A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POSITVE</w:t>
            </w:r>
          </w:p>
        </w:tc>
        <w:tc>
          <w:tcPr>
            <w:tcW w:w="1031" w:type="dxa"/>
            <w:shd w:val="clear" w:color="auto" w:fill="auto"/>
            <w:noWrap/>
          </w:tcPr>
          <w:p w:rsidR="006B6058" w:rsidRPr="0094342B" w:rsidRDefault="00D13D1A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954" w:type="dxa"/>
            <w:shd w:val="clear" w:color="auto" w:fill="auto"/>
            <w:noWrap/>
          </w:tcPr>
          <w:p w:rsidR="006B6058" w:rsidRPr="0094342B" w:rsidRDefault="00D13D1A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219" w:type="dxa"/>
            <w:shd w:val="clear" w:color="auto" w:fill="auto"/>
            <w:noWrap/>
          </w:tcPr>
          <w:p w:rsidR="006B6058" w:rsidRPr="0094342B" w:rsidRDefault="00D13D1A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61" w:type="dxa"/>
            <w:shd w:val="clear" w:color="auto" w:fill="auto"/>
          </w:tcPr>
          <w:p w:rsidR="006B6058" w:rsidRPr="0094342B" w:rsidRDefault="00D13D1A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</w:tr>
      <w:tr w:rsidR="00C32576" w:rsidRPr="00B32065" w:rsidTr="000C6F8E">
        <w:trPr>
          <w:trHeight w:val="260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42B" w:rsidRPr="00B32065" w:rsidRDefault="0094342B" w:rsidP="0094342B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Support, Inc. @ 6 month follow-up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31.2%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53.7%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63.5%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60.8%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94.8%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342B" w:rsidRPr="0094342B" w:rsidRDefault="0094342B" w:rsidP="0094342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4342B">
              <w:rPr>
                <w:rFonts w:ascii="Calibri" w:hAnsi="Calibri"/>
                <w:color w:val="000000"/>
                <w:sz w:val="18"/>
                <w:szCs w:val="18"/>
              </w:rPr>
              <w:t>14.8%</w:t>
            </w:r>
          </w:p>
        </w:tc>
      </w:tr>
      <w:tr w:rsidR="00540260" w:rsidRPr="00B32065" w:rsidTr="000C6F8E">
        <w:trPr>
          <w:trHeight w:val="239"/>
        </w:trPr>
        <w:tc>
          <w:tcPr>
            <w:tcW w:w="2380" w:type="dxa"/>
            <w:shd w:val="clear" w:color="auto" w:fill="D9D9D9" w:themeFill="background1" w:themeFillShade="D9"/>
            <w:noWrap/>
          </w:tcPr>
          <w:p w:rsidR="006B6058" w:rsidRPr="00B32065" w:rsidRDefault="006B6058" w:rsidP="00B3206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Type of change/result</w:t>
            </w:r>
          </w:p>
        </w:tc>
        <w:tc>
          <w:tcPr>
            <w:tcW w:w="1395" w:type="dxa"/>
            <w:noWrap/>
          </w:tcPr>
          <w:p w:rsidR="006B6058" w:rsidRPr="0094342B" w:rsidRDefault="008E7A63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170" w:type="dxa"/>
            <w:noWrap/>
          </w:tcPr>
          <w:p w:rsidR="006B6058" w:rsidRPr="0094342B" w:rsidRDefault="008E7A63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321" w:type="dxa"/>
            <w:noWrap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60" w:type="dxa"/>
            <w:noWrap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60" w:type="dxa"/>
            <w:noWrap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POSITVE</w:t>
            </w:r>
          </w:p>
        </w:tc>
        <w:tc>
          <w:tcPr>
            <w:tcW w:w="971" w:type="dxa"/>
            <w:noWrap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88" w:type="dxa"/>
            <w:noWrap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810" w:type="dxa"/>
            <w:noWrap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31" w:type="dxa"/>
            <w:noWrap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954" w:type="dxa"/>
            <w:noWrap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219" w:type="dxa"/>
            <w:noWrap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961" w:type="dxa"/>
          </w:tcPr>
          <w:p w:rsidR="006B6058" w:rsidRPr="0094342B" w:rsidRDefault="00F1018B" w:rsidP="00B320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NEGATIVE</w:t>
            </w:r>
          </w:p>
        </w:tc>
      </w:tr>
      <w:tr w:rsidR="00540260" w:rsidRPr="00B32065" w:rsidTr="000C6F8E">
        <w:trPr>
          <w:trHeight w:val="239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B6058" w:rsidRPr="00B32065" w:rsidRDefault="006B6058" w:rsidP="00221179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 difference w/ NC @ 3 months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-5.9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-7.5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-.8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-7.4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3A1503" w:rsidP="0022117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-.6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6B6058" w:rsidRPr="0094342B" w:rsidRDefault="003A1503" w:rsidP="0023515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6.5</w:t>
            </w:r>
          </w:p>
        </w:tc>
      </w:tr>
      <w:tr w:rsidR="00540260" w:rsidRPr="00B32065" w:rsidTr="000C6F8E">
        <w:trPr>
          <w:trHeight w:val="239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B6058" w:rsidRPr="00B32065" w:rsidRDefault="006B6058" w:rsidP="00B3206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 difference w/ NC @ 6 months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-2.1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-5.5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-12.7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6B6058" w:rsidRPr="0094342B" w:rsidRDefault="00C3257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7.5</w:t>
            </w:r>
          </w:p>
        </w:tc>
      </w:tr>
      <w:tr w:rsidR="00C32576" w:rsidRPr="00B32065" w:rsidTr="000C6F8E">
        <w:trPr>
          <w:trHeight w:val="239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32576" w:rsidRPr="00B32065" w:rsidRDefault="00C32576" w:rsidP="00C3257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 difference w/ Partners @ 3 months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-5.9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-4.5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-2.9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-5.8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.3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C32576" w:rsidRPr="0094342B" w:rsidRDefault="00C32576" w:rsidP="00C3257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2.2</w:t>
            </w:r>
          </w:p>
        </w:tc>
      </w:tr>
      <w:tr w:rsidR="005422A3" w:rsidRPr="00B32065" w:rsidTr="000C6F8E">
        <w:trPr>
          <w:trHeight w:val="239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6B6058" w:rsidRPr="00B32065" w:rsidRDefault="006B6058" w:rsidP="00B32065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320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% difference w/ Partners @ 6 months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-3.0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-2.3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0C6F8E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-10.0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-8.3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.4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bottom"/>
          </w:tcPr>
          <w:p w:rsidR="006B6058" w:rsidRPr="0094342B" w:rsidRDefault="005E6356" w:rsidP="00B3206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2.9</w:t>
            </w:r>
          </w:p>
        </w:tc>
      </w:tr>
    </w:tbl>
    <w:p w:rsidR="00915968" w:rsidRPr="00915968" w:rsidRDefault="00915968" w:rsidP="00B156E6">
      <w:pPr>
        <w:jc w:val="center"/>
        <w:rPr>
          <w:sz w:val="20"/>
        </w:rPr>
      </w:pPr>
      <w:r w:rsidRPr="00915968">
        <w:rPr>
          <w:sz w:val="20"/>
        </w:rPr>
        <w:t>Blue = Above</w:t>
      </w:r>
      <w:r w:rsidR="006B6058">
        <w:rPr>
          <w:sz w:val="20"/>
        </w:rPr>
        <w:t>/better than</w:t>
      </w:r>
      <w:r w:rsidRPr="00915968">
        <w:rPr>
          <w:sz w:val="20"/>
        </w:rPr>
        <w:t xml:space="preserve"> state</w:t>
      </w:r>
      <w:r w:rsidR="00C10D04">
        <w:rPr>
          <w:sz w:val="20"/>
        </w:rPr>
        <w:t>/MCO</w:t>
      </w:r>
      <w:r w:rsidRPr="00915968">
        <w:rPr>
          <w:sz w:val="20"/>
        </w:rPr>
        <w:t xml:space="preserve"> difference </w:t>
      </w:r>
      <w:r w:rsidRPr="00915968">
        <w:rPr>
          <w:sz w:val="20"/>
        </w:rPr>
        <w:tab/>
      </w:r>
      <w:r w:rsidRPr="00915968">
        <w:rPr>
          <w:sz w:val="20"/>
        </w:rPr>
        <w:tab/>
      </w:r>
      <w:r w:rsidRPr="00915968">
        <w:rPr>
          <w:sz w:val="20"/>
        </w:rPr>
        <w:tab/>
        <w:t>Red = Below</w:t>
      </w:r>
      <w:r w:rsidR="006B6058">
        <w:rPr>
          <w:sz w:val="20"/>
        </w:rPr>
        <w:t>/worse than</w:t>
      </w:r>
      <w:r w:rsidRPr="00915968">
        <w:rPr>
          <w:sz w:val="20"/>
        </w:rPr>
        <w:t xml:space="preserve"> state</w:t>
      </w:r>
      <w:r w:rsidR="00C10D04">
        <w:rPr>
          <w:sz w:val="20"/>
        </w:rPr>
        <w:t>/MCO</w:t>
      </w:r>
      <w:r w:rsidRPr="00915968">
        <w:rPr>
          <w:sz w:val="20"/>
        </w:rPr>
        <w:t xml:space="preserve"> difference</w:t>
      </w:r>
    </w:p>
    <w:p w:rsidR="00A75719" w:rsidRPr="00C10D04" w:rsidRDefault="00A75719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Mental health symptoms- Percentage of consumers who reported none or mild mental health symptoms in the month before treatment versus during treatment</w:t>
      </w:r>
    </w:p>
    <w:p w:rsidR="00A75719" w:rsidRPr="00C10D04" w:rsidRDefault="00A75719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Suicidal thoughts- Percentage of consumers who reported experiencing suicidal thoughts in the 3 months before treatment versus during treatment</w:t>
      </w:r>
    </w:p>
    <w:p w:rsidR="00A75719" w:rsidRPr="00C10D04" w:rsidRDefault="00A75719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Problems did not interfere with daily life- Percentage of consumers who reported their symptoms do not interfere with school or other daily activities in the 3 months before treatment versus during treatment</w:t>
      </w:r>
    </w:p>
    <w:p w:rsidR="00A75719" w:rsidRPr="00C10D04" w:rsidRDefault="00A75719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Emotional health- Percentage of consumers who reported their emotional well-being as good or excellent in the year before treatment versus during treatment</w:t>
      </w:r>
    </w:p>
    <w:p w:rsidR="00A75719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Relationships with family or significant others- Percentage of consumers who reported their relationships with family or significant others as good or excellent in the year before treatment versus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Quality of life- Percentage of consumers who reported program services were very helpful in improving their quality of life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Control over life- Percentage of consumers who reported program services were very helpful in helping them gain control over their lives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Hope about future- Percentage of consumers who reported program services were very helpful in increasing hope about the future during treatment</w:t>
      </w:r>
    </w:p>
    <w:p w:rsidR="00B156E6" w:rsidRPr="00C10D04" w:rsidRDefault="00B156E6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Community/extracurricular activities- Percentage of consumers who reported participating in community and/or extracurricular activities more than a few times in the 3 months before treatment versus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Suspension or expulsions- Percentage of consumers who reported suspensions, expulsions, or being currently expelled in the 3 months before treatment versus during treatment</w:t>
      </w:r>
    </w:p>
    <w:p w:rsidR="00585A2A" w:rsidRPr="00C10D04" w:rsidRDefault="00585A2A" w:rsidP="00A75719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Family participation in treatment- Percentage of consumers who reported family member/guardian involved with treatment services and/or person-centered planning</w:t>
      </w:r>
    </w:p>
    <w:p w:rsidR="005F3455" w:rsidRPr="00540260" w:rsidRDefault="00585A2A" w:rsidP="006B6058">
      <w:pPr>
        <w:pStyle w:val="ListParagraph"/>
        <w:numPr>
          <w:ilvl w:val="0"/>
          <w:numId w:val="1"/>
        </w:numPr>
        <w:rPr>
          <w:sz w:val="16"/>
          <w:szCs w:val="12"/>
        </w:rPr>
      </w:pPr>
      <w:r w:rsidRPr="00C10D04">
        <w:rPr>
          <w:sz w:val="16"/>
          <w:szCs w:val="12"/>
        </w:rPr>
        <w:t>Emergency room visits- Percentage of consumers who reported having visits to a hospital emergency room in the 3 months before treatment versus during treatment</w:t>
      </w:r>
    </w:p>
    <w:sectPr w:rsidR="005F3455" w:rsidRPr="00540260" w:rsidSect="00AA3098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F4" w:rsidRDefault="00E667F4" w:rsidP="00585A2A">
      <w:pPr>
        <w:spacing w:after="0" w:line="240" w:lineRule="auto"/>
      </w:pPr>
      <w:r>
        <w:separator/>
      </w:r>
    </w:p>
  </w:endnote>
  <w:endnote w:type="continuationSeparator" w:id="0">
    <w:p w:rsidR="00E667F4" w:rsidRDefault="00E667F4" w:rsidP="0058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F4" w:rsidRDefault="00E667F4" w:rsidP="00585A2A">
      <w:pPr>
        <w:spacing w:after="0" w:line="240" w:lineRule="auto"/>
      </w:pPr>
      <w:r>
        <w:separator/>
      </w:r>
    </w:p>
  </w:footnote>
  <w:footnote w:type="continuationSeparator" w:id="0">
    <w:p w:rsidR="00E667F4" w:rsidRDefault="00E667F4" w:rsidP="0058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F2" w:rsidRDefault="00935EF2" w:rsidP="00915968">
    <w:pPr>
      <w:pStyle w:val="Header"/>
      <w:jc w:val="center"/>
    </w:pPr>
    <w:r>
      <w:t>NC TOPPS CHILD MENTAL HEALTH: April 2014 to March 2015</w:t>
    </w:r>
  </w:p>
  <w:p w:rsidR="00935EF2" w:rsidRDefault="00935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94E84"/>
    <w:multiLevelType w:val="hybridMultilevel"/>
    <w:tmpl w:val="8332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19"/>
    <w:rsid w:val="000C6F8E"/>
    <w:rsid w:val="00221179"/>
    <w:rsid w:val="0023515C"/>
    <w:rsid w:val="0024543D"/>
    <w:rsid w:val="00327508"/>
    <w:rsid w:val="003A1503"/>
    <w:rsid w:val="003B1D79"/>
    <w:rsid w:val="00540260"/>
    <w:rsid w:val="005422A3"/>
    <w:rsid w:val="00585A2A"/>
    <w:rsid w:val="005E6356"/>
    <w:rsid w:val="005F3455"/>
    <w:rsid w:val="006B6058"/>
    <w:rsid w:val="00865426"/>
    <w:rsid w:val="008E7A63"/>
    <w:rsid w:val="00911302"/>
    <w:rsid w:val="00915968"/>
    <w:rsid w:val="00935EF2"/>
    <w:rsid w:val="0094342B"/>
    <w:rsid w:val="0096696D"/>
    <w:rsid w:val="00A02C5B"/>
    <w:rsid w:val="00A0698B"/>
    <w:rsid w:val="00A75719"/>
    <w:rsid w:val="00AA3098"/>
    <w:rsid w:val="00B156E6"/>
    <w:rsid w:val="00B32065"/>
    <w:rsid w:val="00C10D04"/>
    <w:rsid w:val="00C32576"/>
    <w:rsid w:val="00C653BB"/>
    <w:rsid w:val="00CE47D7"/>
    <w:rsid w:val="00D13D1A"/>
    <w:rsid w:val="00D302EB"/>
    <w:rsid w:val="00D6366D"/>
    <w:rsid w:val="00D94CED"/>
    <w:rsid w:val="00E47055"/>
    <w:rsid w:val="00E667F4"/>
    <w:rsid w:val="00E75D62"/>
    <w:rsid w:val="00F1018B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0972FF3-92DE-4F7B-8D8C-2F40CDC3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2A"/>
  </w:style>
  <w:style w:type="paragraph" w:styleId="Footer">
    <w:name w:val="footer"/>
    <w:basedOn w:val="Normal"/>
    <w:link w:val="FooterChar"/>
    <w:uiPriority w:val="99"/>
    <w:unhideWhenUsed/>
    <w:rsid w:val="0058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2A"/>
  </w:style>
  <w:style w:type="paragraph" w:styleId="BalloonText">
    <w:name w:val="Balloon Text"/>
    <w:basedOn w:val="Normal"/>
    <w:link w:val="BalloonTextChar"/>
    <w:uiPriority w:val="99"/>
    <w:semiHidden/>
    <w:unhideWhenUsed/>
    <w:rsid w:val="00AA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 Trudnak</cp:lastModifiedBy>
  <cp:revision>2</cp:revision>
  <dcterms:created xsi:type="dcterms:W3CDTF">2015-05-14T18:29:00Z</dcterms:created>
  <dcterms:modified xsi:type="dcterms:W3CDTF">2015-05-18T13:32:00Z</dcterms:modified>
</cp:coreProperties>
</file>